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事项名称</w:t>
      </w:r>
      <w:r>
        <w:rPr>
          <w:rFonts w:hint="eastAsia" w:ascii="仿宋" w:hAnsi="仿宋" w:eastAsia="仿宋" w:cs="仿宋"/>
          <w:sz w:val="32"/>
          <w:szCs w:val="32"/>
          <w:lang w:val="en-US" w:eastAsia="zh-CN"/>
        </w:rPr>
        <w:t>：社会团体法人登记</w:t>
      </w:r>
    </w:p>
    <w:p>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子项名称：</w:t>
      </w:r>
      <w:r>
        <w:rPr>
          <w:rFonts w:hint="eastAsia" w:ascii="仿宋" w:hAnsi="仿宋" w:eastAsia="仿宋" w:cs="仿宋"/>
          <w:b w:val="0"/>
          <w:bCs w:val="0"/>
          <w:sz w:val="32"/>
          <w:szCs w:val="32"/>
          <w:lang w:val="en-US" w:eastAsia="zh-CN"/>
        </w:rPr>
        <w:t>社会团体变更、注销登记</w:t>
      </w:r>
    </w:p>
    <w:p>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事项类型</w:t>
      </w:r>
      <w:r>
        <w:rPr>
          <w:rFonts w:hint="eastAsia" w:ascii="仿宋" w:hAnsi="仿宋" w:eastAsia="仿宋" w:cs="仿宋"/>
          <w:sz w:val="32"/>
          <w:szCs w:val="32"/>
          <w:lang w:val="en-US" w:eastAsia="zh-CN"/>
        </w:rPr>
        <w:t>：行政许可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
          <w:bCs/>
          <w:sz w:val="32"/>
          <w:szCs w:val="32"/>
          <w:lang w:val="en-US" w:eastAsia="zh-CN"/>
        </w:rPr>
        <w:t>法律依据</w:t>
      </w:r>
      <w:r>
        <w:rPr>
          <w:rFonts w:hint="eastAsia" w:ascii="仿宋" w:hAnsi="仿宋" w:eastAsia="仿宋" w:cs="仿宋"/>
          <w:sz w:val="32"/>
          <w:szCs w:val="32"/>
          <w:lang w:val="en-US" w:eastAsia="zh-CN"/>
        </w:rPr>
        <w:t>：</w:t>
      </w:r>
      <w:r>
        <w:rPr>
          <w:rFonts w:hint="eastAsia" w:ascii="仿宋" w:hAnsi="仿宋" w:eastAsia="仿宋" w:cs="仿宋"/>
          <w:bCs/>
          <w:kern w:val="0"/>
          <w:sz w:val="32"/>
          <w:szCs w:val="32"/>
          <w:lang w:val="en-US" w:eastAsia="zh-CN" w:bidi="ar"/>
        </w:rPr>
        <w:t>（1998年10月25日国务院令第250号发布根据2016年02月06日国务院令第666号《国务院关于修改部分行政法规的决定》修订）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第六条  国务院民政部门和县级以上地方各级人民政府民政部门是本级人民政府的社会团体登记管理机关（以下简称登记管理机关）。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第十条  成立社会团体，应当具备下列条件：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（一）有50个以上的个人会员或者30个以上的单位会员；个人会员、单位会员混合组成的，会员总数不得少于50个；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（二）有规范的名称和相应的组织机构；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（三）有固定的住所；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（四）有与其业务活动相适应的专职工作人员；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（五）有合法的资产和经费来源，全国性的社会团体有１０万元以上活动资金，地方性的社会团体和跨行政区域的社会团体有３万元以上活动资金；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六）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第十一条  申请登记社会团体，发起人应当向登记管理机关提交下列文件：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（一）登记申请书；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（二）业务主管单位的批准文件；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（三）验资报告、场所使用权证明；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（四）发起人和拟任负责人的基本情况、身份证明；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（五）章程草案。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第十八条  社会团体的登记事项需要变更的，应当自业务主管单位审查同意之日起30日内，向登记管理机关申请变更登记。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社会团体修改章程，应当自业务主管单位审查同意之日起30日内，报登记管理机关核准。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第十九条  社会团体有下列情形之一的，应当在业务主管单位审查同意后，向登记管理机关申请注销登记：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（一）完成社会团体章程规定的宗旨的；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（二）自行解散的；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（三）分立、合并的；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bCs/>
          <w:kern w:val="0"/>
          <w:sz w:val="32"/>
          <w:szCs w:val="32"/>
          <w:lang w:val="en-US" w:eastAsia="zh-CN" w:bidi="ar"/>
        </w:rPr>
        <w:t>（四）由于其他原因终止的。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Cs/>
          <w:kern w:val="0"/>
          <w:sz w:val="24"/>
          <w:szCs w:val="24"/>
          <w:lang w:val="en-US" w:eastAsia="zh-CN" w:bidi="ar"/>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事项名称</w:t>
      </w:r>
      <w:r>
        <w:rPr>
          <w:rFonts w:hint="eastAsia" w:ascii="仿宋" w:hAnsi="仿宋" w:eastAsia="仿宋" w:cs="仿宋"/>
          <w:sz w:val="32"/>
          <w:szCs w:val="32"/>
          <w:lang w:val="en-US" w:eastAsia="zh-CN"/>
        </w:rPr>
        <w:t>：民办非企业单位（法人）登记</w:t>
      </w:r>
    </w:p>
    <w:p>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子项名称：</w:t>
      </w:r>
      <w:r>
        <w:rPr>
          <w:rFonts w:hint="eastAsia" w:ascii="仿宋" w:hAnsi="仿宋" w:eastAsia="仿宋" w:cs="仿宋"/>
          <w:b w:val="0"/>
          <w:bCs w:val="0"/>
          <w:sz w:val="32"/>
          <w:szCs w:val="32"/>
          <w:lang w:val="en-US" w:eastAsia="zh-CN"/>
        </w:rPr>
        <w:t>民办非企业单位变更、注销登记</w:t>
      </w:r>
    </w:p>
    <w:p>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事项类型</w:t>
      </w:r>
      <w:r>
        <w:rPr>
          <w:rFonts w:hint="eastAsia" w:ascii="仿宋" w:hAnsi="仿宋" w:eastAsia="仿宋" w:cs="仿宋"/>
          <w:sz w:val="32"/>
          <w:szCs w:val="32"/>
          <w:lang w:val="en-US" w:eastAsia="zh-CN"/>
        </w:rPr>
        <w:t>：行政许可</w:t>
      </w:r>
    </w:p>
    <w:p>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法律依据</w:t>
      </w:r>
      <w:r>
        <w:rPr>
          <w:rFonts w:hint="eastAsia" w:ascii="仿宋" w:hAnsi="仿宋" w:eastAsia="仿宋" w:cs="仿宋"/>
          <w:sz w:val="32"/>
          <w:szCs w:val="32"/>
          <w:lang w:val="en-US" w:eastAsia="zh-CN"/>
        </w:rPr>
        <w:t>：（《民办非企业单位登记管理暂行条例》1998年9月25日国务院第8次常务会议通过,1998年10月25日国务院令第251号发布,自发布之日起施行）</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申请登记民办非企业单位，应当具备下列条件：</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(一)经业务主管单位审查同意；</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(二)有规范的名称、必要的组织机构；</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(三)有与其业务活动相适应的从业人员；</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(四)有与其业务活动相适应的合法财产；</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(五)有必要的场所。</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民办非企业单位的名称应当符合国务院民政部门的规定，不得冠以“中国”、“全国”、“ 中华”等字样。</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申请民办非企业单位登记，举办者应当向登记管理机关提交下列文件：</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(一)登记申请书；</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(二)业务主管单位的批准文件；</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(三)场所使用权证明；</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(四)验资报告；</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(五)拟任负责人的基本情况、身份证明；</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(六)章程草案。</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numPr>
          <w:ilvl w:val="0"/>
          <w:numId w:val="2"/>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第十六条 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第十七条 民办非企业单位法定代表人或者负责人应当自完成清算之日起15日内，向登记管理机关办理注销登记。办理注销登记，须提交注销登记申请书、业务主管单位的审查文件和清算报告。登记管理机关准予注销登记的，发给注销证明文件，收缴登记证书、印章和财务凭证。</w:t>
      </w: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p>
    <w:p>
      <w:pPr>
        <w:numPr>
          <w:ilvl w:val="0"/>
          <w:numId w:val="0"/>
        </w:numPr>
        <w:jc w:val="left"/>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DE448"/>
    <w:multiLevelType w:val="singleLevel"/>
    <w:tmpl w:val="36EDE448"/>
    <w:lvl w:ilvl="0" w:tentative="0">
      <w:start w:val="5"/>
      <w:numFmt w:val="chineseCounting"/>
      <w:suff w:val="space"/>
      <w:lvlText w:val="第%1条"/>
      <w:lvlJc w:val="left"/>
      <w:rPr>
        <w:rFonts w:hint="eastAsia"/>
      </w:rPr>
    </w:lvl>
  </w:abstractNum>
  <w:abstractNum w:abstractNumId="1">
    <w:nsid w:val="46DBEF33"/>
    <w:multiLevelType w:val="singleLevel"/>
    <w:tmpl w:val="46DBEF33"/>
    <w:lvl w:ilvl="0" w:tentative="0">
      <w:start w:val="15"/>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60610"/>
    <w:rsid w:val="30716411"/>
    <w:rsid w:val="331932AB"/>
    <w:rsid w:val="3BB97D01"/>
    <w:rsid w:val="3EAD2944"/>
    <w:rsid w:val="42DE1DA1"/>
    <w:rsid w:val="4C4E2258"/>
    <w:rsid w:val="55995F95"/>
    <w:rsid w:val="646237DB"/>
    <w:rsid w:val="7075097B"/>
    <w:rsid w:val="7D43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customStyle="1" w:styleId="6">
    <w:name w:val="hover"/>
    <w:basedOn w:val="3"/>
    <w:qFormat/>
    <w:uiPriority w:val="0"/>
    <w:rPr>
      <w:shd w:val="clear" w:fill="5982B8"/>
    </w:rPr>
  </w:style>
  <w:style w:type="character" w:customStyle="1" w:styleId="7">
    <w:name w:val="hover7"/>
    <w:basedOn w:val="3"/>
    <w:qFormat/>
    <w:uiPriority w:val="0"/>
    <w:rPr>
      <w:shd w:val="clear" w:fill="5982B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2020-04-02T02:40:00Z</dcterms:created>
  <dc:creator>Administrator</dc:creator>
  <cp:lastModifiedBy>bp</cp:lastModifiedBy>
  <cp:lastPrinted>2020-04-02T05:26:00Z</cp:lastPrinted>
  <dcterms:modified xsi:type="dcterms:W3CDTF">2021-10-29T06:15:17Z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9BB2C6CDA9784270842611D184D4A02A</vt:lpwstr>
  </property>
</Properties>
</file>