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490" w:lineRule="exact"/>
        <w:ind w:left="1143" w:leftChars="114" w:right="0" w:rightChars="0" w:hanging="904" w:hangingChars="250"/>
        <w:jc w:val="center"/>
        <w:textAlignment w:val="auto"/>
        <w:outlineLvl w:val="9"/>
        <w:rPr>
          <w:rFonts w:hint="eastAsia" w:asciiTheme="minorEastAsia" w:hAnsiTheme="minorEastAsia" w:eastAsiaTheme="minorEastAsia" w:cstheme="minorEastAsia"/>
          <w:b/>
          <w:sz w:val="36"/>
          <w:szCs w:val="36"/>
          <w:lang w:val="en-US" w:eastAsia="zh-CN"/>
        </w:rPr>
      </w:pPr>
      <w:r>
        <w:rPr>
          <w:rFonts w:hint="eastAsia" w:asciiTheme="minorEastAsia" w:hAnsiTheme="minorEastAsia" w:cstheme="minorEastAsia"/>
          <w:b/>
          <w:sz w:val="36"/>
          <w:szCs w:val="36"/>
          <w:lang w:val="en-US" w:eastAsia="zh-CN"/>
        </w:rPr>
        <w:t>清 单 编 制 说 明</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942" w:leftChars="114" w:right="0" w:rightChars="0" w:hanging="703" w:hangingChars="250"/>
        <w:jc w:val="left"/>
        <w:textAlignment w:val="auto"/>
        <w:outlineLvl w:val="9"/>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工程概况：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sz w:val="28"/>
          <w:szCs w:val="28"/>
          <w:lang w:val="en-US" w:eastAsia="zh-CN"/>
        </w:rPr>
        <w:t>工程名称：吉林市昌邑区粪污存储点工程项目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建设单位：吉林市昌邑区林业和畜牧业管理局</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942" w:leftChars="114" w:right="0" w:rightChars="0" w:hanging="703" w:hangingChars="250"/>
        <w:jc w:val="lef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cstheme="minorEastAsia"/>
          <w:b/>
          <w:sz w:val="28"/>
          <w:szCs w:val="28"/>
          <w:lang w:eastAsia="zh-CN"/>
        </w:rPr>
        <w:t>编制</w:t>
      </w:r>
      <w:r>
        <w:rPr>
          <w:rFonts w:hint="eastAsia" w:asciiTheme="minorEastAsia" w:hAnsiTheme="minorEastAsia" w:eastAsiaTheme="minorEastAsia" w:cstheme="minorEastAsia"/>
          <w:b/>
          <w:sz w:val="28"/>
          <w:szCs w:val="28"/>
        </w:rPr>
        <w:t>范围：</w:t>
      </w:r>
      <w:r>
        <w:rPr>
          <w:rFonts w:hint="eastAsia" w:asciiTheme="minorEastAsia" w:hAnsiTheme="minorEastAsia" w:eastAsiaTheme="minorEastAsia" w:cstheme="minorEastAsia"/>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粪污存储点项目的建筑工程、钢结构工程等；</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81" w:firstLineChars="100"/>
        <w:jc w:val="left"/>
        <w:textAlignment w:val="auto"/>
        <w:outlineLvl w:val="9"/>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三、编制依据：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1、《建设工程工程量清单计价规范》（GB 50500-2013）；</w:t>
      </w:r>
    </w:p>
    <w:p>
      <w:pPr>
        <w:keepNext w:val="0"/>
        <w:keepLines w:val="0"/>
        <w:pageBreakBefore w:val="0"/>
        <w:widowControl/>
        <w:kinsoku/>
        <w:wordWrap/>
        <w:overflowPunct/>
        <w:topLinePunct w:val="0"/>
        <w:autoSpaceDE/>
        <w:autoSpaceDN/>
        <w:bidi w:val="0"/>
        <w:adjustRightInd/>
        <w:snapToGrid/>
        <w:spacing w:line="560" w:lineRule="exact"/>
        <w:ind w:right="6" w:firstLine="560" w:firstLineChars="200"/>
        <w:jc w:val="both"/>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lang w:eastAsia="zh-CN"/>
        </w:rPr>
        <w:t>《中城城园设计有限公司》编制的该工程设计图纸；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t>首辅工程设计有限公司编制的工程量清单</w:t>
      </w:r>
      <w:r>
        <w:rPr>
          <w:rFonts w:hint="eastAsia" w:asciiTheme="minorEastAsia" w:hAnsiTheme="minorEastAsia" w:eastAsiaTheme="minorEastAsia" w:cs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301" w:firstLineChars="100"/>
        <w:jc w:val="left"/>
        <w:textAlignment w:val="auto"/>
        <w:outlineLvl w:val="9"/>
        <w:rPr>
          <w:rFonts w:hint="eastAsia" w:ascii="宋体" w:hAnsi="宋体" w:eastAsia="宋体" w:cs="宋体"/>
          <w:b/>
          <w:sz w:val="30"/>
          <w:szCs w:val="30"/>
        </w:rPr>
      </w:pPr>
      <w:r>
        <w:rPr>
          <w:rFonts w:hint="eastAsia" w:ascii="宋体" w:hAnsi="宋体" w:eastAsia="宋体" w:cs="宋体"/>
          <w:b/>
          <w:sz w:val="30"/>
          <w:szCs w:val="30"/>
        </w:rPr>
        <w:t>四、暂列金额：</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firstLine="560" w:firstLineChars="200"/>
        <w:jc w:val="both"/>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详见其他项目清单《暂列金额》,该费用投标报价时如数填列其</w:t>
      </w:r>
      <w:r>
        <w:rPr>
          <w:rFonts w:hint="eastAsia" w:asciiTheme="minorEastAsia" w:hAnsiTheme="minorEastAsia" w:eastAsiaTheme="minorEastAsia" w:cstheme="minorEastAsia"/>
          <w:sz w:val="28"/>
          <w:szCs w:val="28"/>
          <w:lang w:val="en-US" w:eastAsia="zh-CN"/>
        </w:rPr>
        <w:t>他项目清单报价中，不得将该笔金额分解在分部分项工程综合单价中，否则作为废标处理；该笔金额用在设计深度不足及内容不完善、变更签证、材料价差</w:t>
      </w:r>
      <w:r>
        <w:rPr>
          <w:rFonts w:hint="eastAsia" w:asciiTheme="minorEastAsia" w:hAnsiTheme="minorEastAsia" w:cstheme="minorEastAsia"/>
          <w:sz w:val="28"/>
          <w:szCs w:val="28"/>
          <w:lang w:val="en-US" w:eastAsia="zh-CN"/>
        </w:rPr>
        <w:t>（结算时材料价差仅计取税金）</w:t>
      </w:r>
      <w:r>
        <w:rPr>
          <w:rFonts w:hint="eastAsia" w:asciiTheme="minorEastAsia" w:hAnsiTheme="minorEastAsia" w:eastAsiaTheme="minorEastAsia" w:cstheme="minorEastAsia"/>
          <w:sz w:val="28"/>
          <w:szCs w:val="28"/>
          <w:lang w:val="en-US" w:eastAsia="zh-CN"/>
        </w:rPr>
        <w:t>等清单外项目，剩余金额归建设单位所有。</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left"/>
        <w:textAlignment w:val="auto"/>
        <w:outlineLvl w:val="9"/>
        <w:rPr>
          <w:rFonts w:hint="eastAsia" w:asciiTheme="minorEastAsia" w:hAnsiTheme="minorEastAsia" w:eastAsiaTheme="minorEastAsia" w:cstheme="minorEastAsia"/>
          <w:b/>
          <w:sz w:val="28"/>
          <w:szCs w:val="28"/>
        </w:rPr>
      </w:pPr>
      <w:r>
        <w:rPr>
          <w:rFonts w:hint="eastAsia" w:asciiTheme="minorEastAsia" w:hAnsiTheme="minorEastAsia" w:cstheme="minorEastAsia"/>
          <w:b/>
          <w:sz w:val="30"/>
          <w:szCs w:val="30"/>
          <w:lang w:val="en-US" w:eastAsia="zh-CN"/>
        </w:rPr>
        <w:t xml:space="preserve">  五</w:t>
      </w:r>
      <w:r>
        <w:rPr>
          <w:rFonts w:hint="eastAsia" w:asciiTheme="minorEastAsia" w:hAnsiTheme="minorEastAsia" w:eastAsiaTheme="minorEastAsia" w:cstheme="minorEastAsia"/>
          <w:b/>
          <w:sz w:val="30"/>
          <w:szCs w:val="30"/>
        </w:rPr>
        <w:t>、</w:t>
      </w:r>
      <w:r>
        <w:rPr>
          <w:rFonts w:hint="eastAsia" w:asciiTheme="minorEastAsia" w:hAnsiTheme="minorEastAsia" w:eastAsiaTheme="minorEastAsia" w:cstheme="minorEastAsia"/>
          <w:b/>
          <w:sz w:val="28"/>
          <w:szCs w:val="28"/>
        </w:rPr>
        <w:t>其他说明：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t>自然地理条件、施工现场情况、交通运输情况以现场踏勘为</w:t>
      </w:r>
      <w:r>
        <w:rPr>
          <w:rFonts w:hint="eastAsia" w:asciiTheme="minorEastAsia" w:hAnsiTheme="minorEastAsia" w:cstheme="minorEastAsia"/>
          <w:sz w:val="28"/>
          <w:szCs w:val="28"/>
          <w:lang w:val="en-US" w:eastAsia="zh-CN"/>
        </w:rPr>
        <w:t>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lang w:val="en-US" w:eastAsia="zh-CN"/>
        </w:rPr>
        <w:t>清单工程量按现有图纸计算的工程量，结算时按实际完成验收合格工程量进行调整；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3、</w:t>
      </w:r>
      <w:r>
        <w:rPr>
          <w:rFonts w:hint="eastAsia" w:asciiTheme="minorEastAsia" w:hAnsiTheme="minorEastAsia" w:eastAsiaTheme="minorEastAsia" w:cstheme="minorEastAsia"/>
          <w:sz w:val="28"/>
          <w:szCs w:val="28"/>
          <w:lang w:val="en-US" w:eastAsia="zh-CN"/>
        </w:rPr>
        <w:t xml:space="preserve">工程量清单中每一个项目，都需填入单价及合价，对于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工程量清单中相同项目（项目特征及工作内容相同）的报价应统一， 如有差异，按最低的一个报价进行结算；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分部分项工程量清单中对工程项目的项目特征及具体做法只作重点描述，详细情况见施工图设计、设计报告、技术说明及相关标准图集。报价时应结合投标人现场勘查情况包括完成所有工序工作内容的全部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5、投标人应充分考虑施工现场周边的实际情况对施工的影响编制施工方案，并作出报价；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6、除非合同另有规定外，工程量清单中均已包含了为实施和完成合同工程所有各方面的劳务、材料、机械、质检安装、缺陷修复、管理费、利润；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2" w:firstLineChars="200"/>
        <w:jc w:val="both"/>
        <w:textAlignment w:val="auto"/>
        <w:outlineLvl w:val="9"/>
        <w:rPr>
          <w:rFonts w:hint="eastAsia" w:asciiTheme="minorEastAsia" w:hAnsiTheme="minorEastAsia" w:cstheme="minorEastAsia"/>
          <w:sz w:val="28"/>
          <w:szCs w:val="28"/>
          <w:lang w:val="en-US" w:eastAsia="zh-CN"/>
        </w:rPr>
      </w:pPr>
      <w:r>
        <w:rPr>
          <w:rFonts w:hint="eastAsia" w:asciiTheme="minorEastAsia" w:hAnsiTheme="minorEastAsia" w:cstheme="minorEastAsia"/>
          <w:b/>
          <w:bCs/>
          <w:sz w:val="28"/>
          <w:szCs w:val="28"/>
          <w:lang w:val="en-US" w:eastAsia="zh-CN"/>
        </w:rPr>
        <w:t>7</w:t>
      </w:r>
      <w:r>
        <w:rPr>
          <w:rFonts w:hint="eastAsia" w:asciiTheme="minorEastAsia" w:hAnsiTheme="minorEastAsia" w:eastAsiaTheme="minorEastAsia" w:cstheme="minorEastAsia"/>
          <w:b/>
          <w:bCs/>
          <w:sz w:val="28"/>
          <w:szCs w:val="28"/>
          <w:lang w:val="en-US" w:eastAsia="zh-CN"/>
        </w:rPr>
        <w:t>、清单中设定了部分主要材料价格为暂估价，作为确定清单综合单价依据，各投标单位报价时按此价格进行组价，施工过程材料价格由建设单位监督，结算评审时按施工期实际价格（或甲乙双方共同采购并经甲方确认的发票材料价格）据实进行调整</w:t>
      </w:r>
      <w:r>
        <w:rPr>
          <w:rFonts w:hint="eastAsia" w:asciiTheme="minorEastAsia" w:hAnsiTheme="minorEastAsia" w:cstheme="minorEastAsia"/>
          <w:b/>
          <w:bCs/>
          <w:sz w:val="28"/>
          <w:szCs w:val="28"/>
          <w:lang w:val="en-US" w:eastAsia="zh-CN"/>
        </w:rPr>
        <w:t>（结算时材料价差仅计取税金）</w:t>
      </w:r>
      <w:r>
        <w:rPr>
          <w:rFonts w:hint="eastAsia" w:asciiTheme="minorEastAsia" w:hAnsiTheme="minorEastAsia" w:eastAsiaTheme="minorEastAsia" w:cstheme="minorEastAsia"/>
          <w:b/>
          <w:bCs/>
          <w:sz w:val="28"/>
          <w:szCs w:val="28"/>
          <w:lang w:val="en-US" w:eastAsia="zh-CN"/>
        </w:rPr>
        <w:t xml:space="preserve">，综合单价固定不变；若中标单位不按照此价格组价，结算评审单位结算评审时有权按此价格调整中标结算综合单价；见《材料暂估价表》；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2" w:firstLineChars="200"/>
        <w:jc w:val="left"/>
        <w:textAlignment w:val="auto"/>
        <w:outlineLvl w:val="9"/>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8、本工程施工过程中要</w:t>
      </w:r>
      <w:bookmarkStart w:id="0" w:name="_GoBack"/>
      <w:bookmarkEnd w:id="0"/>
      <w:r>
        <w:rPr>
          <w:rFonts w:hint="eastAsia" w:asciiTheme="minorEastAsia" w:hAnsiTheme="minorEastAsia" w:cstheme="minorEastAsia"/>
          <w:b/>
          <w:bCs/>
          <w:sz w:val="28"/>
          <w:szCs w:val="28"/>
          <w:lang w:val="en-US" w:eastAsia="zh-CN"/>
        </w:rPr>
        <w:t>留好影像资料，做为结算时参考资料；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9、除非合同另有规定外，工程量清单中均已包含了为实施和完成合同工程所有各方面的劳务、材料、机械、质检安装、缺陷修复、管理费、利润；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10、各单位工程投标报价均不能超过该单位工程的招标控制价；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11、本说明未尽事项，以“计价规范”、“计量规范”招标文件以及相关法律、法规、建设行政主管部门颁发的文件为准。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12、本工程量清单及清单编制说明应与招标文件中的投标人须知、通用合同条款、专用合同条款、技术规范及图纸等一起阅读和理解。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default" w:asciiTheme="minorEastAsia" w:hAnsi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                           中驰国际项目管理有限公司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left"/>
        <w:textAlignment w:val="auto"/>
        <w:outlineLvl w:val="9"/>
      </w:pPr>
      <w:r>
        <w:rPr>
          <w:rFonts w:hint="eastAsia" w:asciiTheme="minorEastAsia" w:hAnsiTheme="minorEastAsia" w:cstheme="minorEastAsia"/>
          <w:sz w:val="28"/>
          <w:szCs w:val="28"/>
          <w:lang w:val="en-US" w:eastAsia="zh-CN"/>
        </w:rPr>
        <w:t xml:space="preserve">                                      2024年 4 月 22 日     </w:t>
      </w:r>
      <w:r>
        <w:rPr>
          <w:rFonts w:hint="eastAsia" w:asciiTheme="minorEastAsia" w:hAnsiTheme="minorEastAsia" w:cstheme="minorEastAsia"/>
          <w:b/>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BEABB"/>
    <w:multiLevelType w:val="singleLevel"/>
    <w:tmpl w:val="984BEABB"/>
    <w:lvl w:ilvl="0" w:tentative="0">
      <w:start w:val="2"/>
      <w:numFmt w:val="chineseCounting"/>
      <w:suff w:val="nothing"/>
      <w:lvlText w:val="%1、"/>
      <w:lvlJc w:val="left"/>
      <w:rPr>
        <w:rFonts w:hint="eastAsia"/>
      </w:rPr>
    </w:lvl>
  </w:abstractNum>
  <w:abstractNum w:abstractNumId="1">
    <w:nsid w:val="0A3D4653"/>
    <w:multiLevelType w:val="singleLevel"/>
    <w:tmpl w:val="0A3D465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ZGE5MjU0NDdiYjI5OWJkMTA2NTIyYjE1YTNlYTAifQ=="/>
  </w:docVars>
  <w:rsids>
    <w:rsidRoot w:val="2F8E0B83"/>
    <w:rsid w:val="03D36DC5"/>
    <w:rsid w:val="043802EF"/>
    <w:rsid w:val="0B1C1FC9"/>
    <w:rsid w:val="10917F00"/>
    <w:rsid w:val="12AA527C"/>
    <w:rsid w:val="12C34B92"/>
    <w:rsid w:val="132B0BD9"/>
    <w:rsid w:val="14EA74C2"/>
    <w:rsid w:val="18C62D75"/>
    <w:rsid w:val="1A1A09D6"/>
    <w:rsid w:val="1AA1510B"/>
    <w:rsid w:val="1CCE448A"/>
    <w:rsid w:val="1DCA48E3"/>
    <w:rsid w:val="1DE772CA"/>
    <w:rsid w:val="1F0055AC"/>
    <w:rsid w:val="1FAE0A42"/>
    <w:rsid w:val="213A1FF3"/>
    <w:rsid w:val="222B2877"/>
    <w:rsid w:val="25394DA0"/>
    <w:rsid w:val="264D5AD0"/>
    <w:rsid w:val="29DE6D13"/>
    <w:rsid w:val="29EE2CE6"/>
    <w:rsid w:val="2EBE22F6"/>
    <w:rsid w:val="2F8E0B83"/>
    <w:rsid w:val="30C354C0"/>
    <w:rsid w:val="32175BB3"/>
    <w:rsid w:val="32BD0C84"/>
    <w:rsid w:val="33B42DF0"/>
    <w:rsid w:val="344F5D35"/>
    <w:rsid w:val="350F3504"/>
    <w:rsid w:val="356B01F3"/>
    <w:rsid w:val="36B830C4"/>
    <w:rsid w:val="38E554A7"/>
    <w:rsid w:val="3AD62943"/>
    <w:rsid w:val="3B4A194C"/>
    <w:rsid w:val="3CB90D85"/>
    <w:rsid w:val="3CE66E55"/>
    <w:rsid w:val="3E0C1377"/>
    <w:rsid w:val="41371F9D"/>
    <w:rsid w:val="429E5D9B"/>
    <w:rsid w:val="42A445F8"/>
    <w:rsid w:val="42CE04A3"/>
    <w:rsid w:val="4329739B"/>
    <w:rsid w:val="45C80EF1"/>
    <w:rsid w:val="46591A93"/>
    <w:rsid w:val="46E73D68"/>
    <w:rsid w:val="48EC50C2"/>
    <w:rsid w:val="49902417"/>
    <w:rsid w:val="4AA24CC7"/>
    <w:rsid w:val="4D370BEF"/>
    <w:rsid w:val="4E845076"/>
    <w:rsid w:val="4EA91E6D"/>
    <w:rsid w:val="51BF56E2"/>
    <w:rsid w:val="531535A0"/>
    <w:rsid w:val="539E1778"/>
    <w:rsid w:val="54221039"/>
    <w:rsid w:val="58686BE6"/>
    <w:rsid w:val="5B282794"/>
    <w:rsid w:val="5BCC0E14"/>
    <w:rsid w:val="5D7649C1"/>
    <w:rsid w:val="5D8E0CFA"/>
    <w:rsid w:val="60C32E83"/>
    <w:rsid w:val="61736C80"/>
    <w:rsid w:val="623250F2"/>
    <w:rsid w:val="63394AB1"/>
    <w:rsid w:val="65C1594B"/>
    <w:rsid w:val="65D94788"/>
    <w:rsid w:val="65DC3F7E"/>
    <w:rsid w:val="6620164E"/>
    <w:rsid w:val="67227654"/>
    <w:rsid w:val="67A32AE9"/>
    <w:rsid w:val="67B83243"/>
    <w:rsid w:val="69B813C9"/>
    <w:rsid w:val="6A7C4025"/>
    <w:rsid w:val="6B554B39"/>
    <w:rsid w:val="6CBD0E1E"/>
    <w:rsid w:val="6E94438A"/>
    <w:rsid w:val="6EDE5286"/>
    <w:rsid w:val="700C4A34"/>
    <w:rsid w:val="73EA6DF0"/>
    <w:rsid w:val="74BD4E3A"/>
    <w:rsid w:val="7570269D"/>
    <w:rsid w:val="75B13FA6"/>
    <w:rsid w:val="75F9412B"/>
    <w:rsid w:val="775E6E28"/>
    <w:rsid w:val="776005C7"/>
    <w:rsid w:val="77A77088"/>
    <w:rsid w:val="79D07F72"/>
    <w:rsid w:val="7ACE3BC6"/>
    <w:rsid w:val="7AF64D23"/>
    <w:rsid w:val="7B3602A6"/>
    <w:rsid w:val="7BCC158C"/>
    <w:rsid w:val="7C7942B9"/>
    <w:rsid w:val="7CD079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2017-03-21T08:30:00Z</dcterms:created>
  <dc:creator>Administrator</dc:creator>
  <cp:lastModifiedBy>Administrator</cp:lastModifiedBy>
  <cp:lastPrinted>2024-03-27T02:09:00Z</cp:lastPrinted>
  <dcterms:modified xsi:type="dcterms:W3CDTF">2024-04-22T02:12:00Z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B551768C09244A55A0EBFC8075E1002D_13</vt:lpwstr>
  </property>
</Properties>
</file>